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914400</wp:posOffset>
                </wp:positionH>
                <wp:positionV relativeFrom="margin">
                  <wp:posOffset>1600200</wp:posOffset>
                </wp:positionV>
                <wp:extent cx="6286500" cy="8320405"/>
                <wp:effectExtent b="0" l="0" r="0" t="0"/>
                <wp:wrapNone/>
                <wp:docPr id="11"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5" name="Shape 5"/>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914400</wp:posOffset>
                </wp:positionH>
                <wp:positionV relativeFrom="margin">
                  <wp:posOffset>1600200</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96525</wp:posOffset>
            </wp:positionH>
            <wp:positionV relativeFrom="paragraph">
              <wp:posOffset>1698625</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ind w:left="-566.929133858267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for </w:t>
      </w:r>
      <w:r w:rsidDel="00000000" w:rsidR="00000000" w:rsidRPr="00000000">
        <w:rPr>
          <w:rFonts w:ascii="Arial" w:cs="Arial" w:eastAsia="Arial" w:hAnsi="Arial"/>
          <w:b w:val="1"/>
          <w:sz w:val="24"/>
          <w:szCs w:val="24"/>
          <w:highlight w:val="white"/>
          <w:rtl w:val="0"/>
        </w:rPr>
        <w:t xml:space="preserve">RM6353:</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Tyres, Glass and Telematics</w:t>
      </w:r>
      <w:r w:rsidDel="00000000" w:rsidR="00000000" w:rsidRPr="00000000">
        <w:rPr>
          <w:rFonts w:ascii="Arial" w:cs="Arial" w:eastAsia="Arial" w:hAnsi="Arial"/>
          <w:sz w:val="24"/>
          <w:szCs w:val="24"/>
          <w:highlight w:val="white"/>
          <w:rtl w:val="0"/>
        </w:rPr>
        <w:t xml:space="preserve">.</w:t>
      </w:r>
      <w:r w:rsidDel="00000000" w:rsidR="00000000" w:rsidRPr="00000000">
        <w:rPr>
          <w:rFonts w:ascii="Arial" w:cs="Arial" w:eastAsia="Arial" w:hAnsi="Arial"/>
          <w:sz w:val="24"/>
          <w:szCs w:val="24"/>
          <w:rtl w:val="0"/>
        </w:rPr>
        <w:t xml:space="preserve">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     </w:t>
            </w:r>
          </w:p>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2526.3574218750005" w:hRule="atLeast"/>
          <w:tblHeader w:val="0"/>
        </w:trPr>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SID4GOV ID if you have on</w:t>
                  </w:r>
                  <w:r w:rsidDel="00000000" w:rsidR="00000000" w:rsidRPr="00000000">
                    <w:rPr>
                      <w:rFonts w:ascii="Arial" w:cs="Arial" w:eastAsia="Arial" w:hAnsi="Arial"/>
                      <w:color w:val="000000"/>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6">
                  <w:pPr>
                    <w:spacing w:after="0" w:line="240" w:lineRule="auto"/>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yellow"/>
                <w:rtl w:val="0"/>
              </w:rPr>
              <w:t xml:space="preserve">[in Lot(s) [x, y].</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1B">
            <w:pPr>
              <w:spacing w:after="0" w:line="240" w:lineRule="auto"/>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[Insert reference number] </w:t>
            </w:r>
            <w:r w:rsidDel="00000000" w:rsidR="00000000" w:rsidRPr="00000000">
              <w:rPr>
                <w:rFonts w:ascii="Arial" w:cs="Arial" w:eastAsia="Arial" w:hAnsi="Arial"/>
                <w:color w:val="000000"/>
                <w:sz w:val="24"/>
                <w:szCs w:val="24"/>
                <w:rtl w:val="0"/>
              </w:rPr>
              <w:t xml:space="preserve">(FTS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95b3d7"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5">
            <w:pPr>
              <w:spacing w:after="0" w:lineRule="auto"/>
              <w:ind w:left="0" w:right="94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Day Month Year]</w:t>
            </w:r>
          </w:p>
        </w:tc>
      </w:tr>
      <w:tr>
        <w:trPr>
          <w:cantSplit w:val="0"/>
          <w:trHeight w:val="60" w:hRule="atLeast"/>
          <w:tblHeader w:val="0"/>
        </w:trPr>
        <w:tc>
          <w:tcPr/>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9">
            <w:pPr>
              <w:spacing w:after="0" w:lineRule="auto"/>
              <w:ind w:left="0" w:right="94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Day Month Year]</w:t>
            </w:r>
          </w:p>
        </w:tc>
      </w:tr>
      <w:tr>
        <w:trPr>
          <w:cantSplit w:val="0"/>
          <w:trHeight w:val="471" w:hRule="atLeast"/>
          <w:tblHeader w:val="0"/>
        </w:trPr>
        <w:tc>
          <w:tcPr/>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2F">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12 months</w:t>
            </w: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35">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tc>
      </w:tr>
      <w:tr>
        <w:trPr>
          <w:cantSplit w:val="0"/>
          <w:trHeight w:val="231" w:hRule="atLeast"/>
          <w:tblHeader w:val="0"/>
        </w:trPr>
        <w:tc>
          <w:tcPr/>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Framework Contract’)</w:t>
            </w:r>
          </w:p>
          <w:p w:rsidR="00000000" w:rsidDel="00000000" w:rsidP="00000000" w:rsidRDefault="00000000" w:rsidRPr="00000000" w14:paraId="0000003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tc>
        <w:tc>
          <w:tcPr>
            <w:shd w:fill="ffffff" w:val="clear"/>
          </w:tcPr>
          <w:p w:rsidR="00000000" w:rsidDel="00000000" w:rsidP="00000000" w:rsidRDefault="00000000" w:rsidRPr="00000000" w14:paraId="0000004A">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4B">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4D">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w:t>
            </w:r>
            <w:r w:rsidDel="00000000" w:rsidR="00000000" w:rsidRPr="00000000">
              <w:rPr>
                <w:rFonts w:ascii="Arial" w:cs="Arial" w:eastAsia="Arial" w:hAnsi="Arial"/>
                <w:color w:val="000000"/>
                <w:sz w:val="24"/>
                <w:szCs w:val="24"/>
                <w:highlight w:val="white"/>
                <w:rtl w:val="0"/>
              </w:rPr>
              <w:t xml:space="preserve"> RM6353</w:t>
            </w:r>
            <w:r w:rsidDel="00000000" w:rsidR="00000000" w:rsidRPr="00000000">
              <w:rPr>
                <w:rtl w:val="0"/>
              </w:rPr>
            </w:r>
          </w:p>
          <w:p w:rsidR="00000000" w:rsidDel="00000000" w:rsidP="00000000" w:rsidRDefault="00000000" w:rsidRPr="00000000" w14:paraId="0000004E">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w:t>
            </w:r>
            <w:r w:rsidDel="00000000" w:rsidR="00000000" w:rsidRPr="00000000">
              <w:rPr>
                <w:rFonts w:ascii="Arial" w:cs="Arial" w:eastAsia="Arial" w:hAnsi="Arial"/>
                <w:color w:val="000000"/>
                <w:sz w:val="24"/>
                <w:szCs w:val="24"/>
                <w:highlight w:val="white"/>
                <w:rtl w:val="0"/>
              </w:rPr>
              <w:t xml:space="preserve">RM6353</w:t>
            </w:r>
            <w:r w:rsidDel="00000000" w:rsidR="00000000" w:rsidRPr="00000000">
              <w:rPr>
                <w:rtl w:val="0"/>
              </w:rPr>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w:t>
            </w:r>
            <w:r w:rsidDel="00000000" w:rsidR="00000000" w:rsidRPr="00000000">
              <w:rPr>
                <w:rFonts w:ascii="Arial" w:cs="Arial" w:eastAsia="Arial" w:hAnsi="Arial"/>
                <w:color w:val="000000"/>
                <w:sz w:val="24"/>
                <w:szCs w:val="24"/>
                <w:highlight w:val="white"/>
                <w:rtl w:val="0"/>
              </w:rPr>
              <w:t xml:space="preserve">RM6353</w:t>
            </w:r>
            <w:r w:rsidDel="00000000" w:rsidR="00000000" w:rsidRPr="00000000">
              <w:rPr>
                <w:rFonts w:ascii="Arial" w:cs="Arial" w:eastAsia="Arial" w:hAnsi="Arial"/>
                <w:color w:val="000000"/>
                <w:sz w:val="24"/>
                <w:szCs w:val="24"/>
                <w:rtl w:val="0"/>
              </w:rPr>
              <w:t xml:space="preserve"> (in equal order of precedence):</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ind w:left="4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6a (Order Form Template and Call-Off Schedules)</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6b (Order Form Template and Call-Off Schedules) for Lot 4</w:t>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6c Simple Order Form for Lot 1-3 </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6d Simple Order Form for Lot 4 including (as applicable) the following template Call-Off Schedules: </w:t>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B">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4 (Call-Off Tender)</w:t>
              <w:tab/>
              <w:tab/>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5 </w:t>
            </w: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color w:val="000000"/>
                <w:sz w:val="24"/>
                <w:szCs w:val="24"/>
                <w:highlight w:val="white"/>
                <w:rtl w:val="0"/>
              </w:rPr>
              <w:t xml:space="preserve">Pricing Details)</w:t>
              <w:tab/>
              <w:t xml:space="preserve">           </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6 (ICT Services) </w:t>
              <w:tab/>
              <w:tab/>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7 (Key Supplier Staff)</w:t>
              <w:tab/>
              <w:tab/>
            </w:r>
          </w:p>
          <w:p w:rsidR="00000000" w:rsidDel="00000000" w:rsidP="00000000" w:rsidRDefault="00000000" w:rsidRPr="00000000" w14:paraId="00000060">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 </w:t>
            </w:r>
          </w:p>
          <w:p w:rsidR="00000000" w:rsidDel="00000000" w:rsidP="00000000" w:rsidRDefault="00000000" w:rsidRPr="00000000" w14:paraId="00000061">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t xml:space="preserve"> </w:t>
            </w:r>
          </w:p>
          <w:p w:rsidR="00000000" w:rsidDel="00000000" w:rsidP="00000000" w:rsidRDefault="00000000" w:rsidRPr="00000000" w14:paraId="00000062">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10 (Exit Management) </w:t>
              <w:tab/>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11 (Installation Works) </w:t>
              <w:tab/>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12 (Clustering) </w:t>
              <w:tab/>
              <w:tab/>
            </w:r>
          </w:p>
          <w:p w:rsidR="00000000" w:rsidDel="00000000" w:rsidP="00000000" w:rsidRDefault="00000000" w:rsidRPr="00000000" w14:paraId="00000065">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13 (Implementation Plan and Testing)</w:t>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r>
          </w:p>
          <w:p w:rsidR="00000000" w:rsidDel="00000000" w:rsidP="00000000" w:rsidRDefault="00000000" w:rsidRPr="00000000" w14:paraId="00000067">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Management)</w:t>
            </w:r>
          </w:p>
          <w:p w:rsidR="00000000" w:rsidDel="00000000" w:rsidP="00000000" w:rsidRDefault="00000000" w:rsidRPr="00000000" w14:paraId="0000006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16 (Benchmarking) </w:t>
              <w:tab/>
              <w:t xml:space="preserve">          </w:t>
            </w:r>
          </w:p>
          <w:p w:rsidR="00000000" w:rsidDel="00000000" w:rsidP="00000000" w:rsidRDefault="00000000" w:rsidRPr="00000000" w14:paraId="0000006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17 (MOD Terms) </w:t>
              <w:tab/>
              <w:t xml:space="preserve">                         </w:t>
            </w:r>
          </w:p>
          <w:p w:rsidR="00000000" w:rsidDel="00000000" w:rsidP="00000000" w:rsidRDefault="00000000" w:rsidRPr="00000000" w14:paraId="0000006A">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18 (Background Checks)     </w:t>
            </w:r>
          </w:p>
          <w:p w:rsidR="00000000" w:rsidDel="00000000" w:rsidP="00000000" w:rsidRDefault="00000000" w:rsidRPr="00000000" w14:paraId="0000006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19 (Scottish Law)</w:t>
              <w:tab/>
              <w:t xml:space="preserve">                </w:t>
            </w:r>
          </w:p>
          <w:p w:rsidR="00000000" w:rsidDel="00000000" w:rsidP="00000000" w:rsidRDefault="00000000" w:rsidRPr="00000000" w14:paraId="0000006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20 (Call-Off Specification)    </w:t>
            </w:r>
          </w:p>
          <w:p w:rsidR="00000000" w:rsidDel="00000000" w:rsidP="00000000" w:rsidRDefault="00000000" w:rsidRPr="00000000" w14:paraId="0000006D">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21 (Northern Ireland Law)    </w:t>
            </w:r>
          </w:p>
          <w:p w:rsidR="00000000" w:rsidDel="00000000" w:rsidP="00000000" w:rsidRDefault="00000000" w:rsidRPr="00000000" w14:paraId="0000006E">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23 (HMRC Terms)                </w:t>
            </w:r>
          </w:p>
          <w:p w:rsidR="00000000" w:rsidDel="00000000" w:rsidP="00000000" w:rsidRDefault="00000000" w:rsidRPr="00000000" w14:paraId="0000006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24 (Corporate Resolution Planning)                    </w:t>
              <w:tab/>
              <w:tab/>
              <w:tab/>
              <w:t xml:space="preserve">          </w:t>
            </w:r>
          </w:p>
          <w:p w:rsidR="00000000" w:rsidDel="00000000" w:rsidP="00000000" w:rsidRDefault="00000000" w:rsidRPr="00000000" w14:paraId="00000070">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25 (Supplier Furnished Terms Lot 4 only)                                                    </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Rule="auto"/>
              <w:ind w:left="144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r>
          </w:p>
          <w:p w:rsidR="00000000" w:rsidDel="00000000" w:rsidP="00000000" w:rsidRDefault="00000000" w:rsidRPr="00000000" w14:paraId="0000007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7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7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7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0">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RM6353</w:t>
            </w:r>
          </w:p>
          <w:p w:rsidR="00000000" w:rsidDel="00000000" w:rsidP="00000000" w:rsidRDefault="00000000" w:rsidRPr="00000000" w14:paraId="00000081">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RM6353 Framework as long as any part of the Framework Tender that offers a better commercial position for CCS or Buyers (as decided by CCS) take precedence over the documents above </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705" w:hRule="atLeast"/>
          <w:tblHeader w:val="0"/>
        </w:trPr>
        <w:tc>
          <w:tcPr>
            <w:vMerge w:val="restart"/>
          </w:tcPr>
          <w:p w:rsidR="00000000" w:rsidDel="00000000" w:rsidP="00000000" w:rsidRDefault="00000000" w:rsidRPr="00000000" w14:paraId="00000083">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4 only</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76.53543307086622"/>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8">
            <w:pPr>
              <w:spacing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Special Term 1: In relation to clause 3.1.2 of the Core Terms, the warranty period is amended to 12 months.</w:t>
            </w: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8B">
            <w:pPr>
              <w:spacing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 Where the Buyer has chosen to rent the Goods, clause 3.2 of the Core Terms will not apply to the Call-Off Contract.</w:t>
            </w:r>
          </w:p>
        </w:tc>
      </w:tr>
      <w:tr>
        <w:trPr>
          <w:cantSplit w:val="0"/>
          <w:trHeight w:val="690" w:hRule="atLeast"/>
          <w:tblHeader w:val="0"/>
        </w:trPr>
        <w:tc>
          <w:tcPr>
            <w:vMerge w:val="continue"/>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E">
            <w:pPr>
              <w:spacing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3: Clause 3.2.2 of the Core Terms has been amended to "All manufacturer warranties covering the Goods must either, be assignable to the Buyer on request and for free, or the Supplier must make claims under the warranties for the Buyer whenever asked to do so for free."</w:t>
            </w:r>
          </w:p>
        </w:tc>
      </w:tr>
      <w:tr>
        <w:trPr>
          <w:cantSplit w:val="0"/>
          <w:trHeight w:val="690" w:hRule="atLeast"/>
          <w:tblHeader w:val="0"/>
        </w:trPr>
        <w:tc>
          <w:tcPr>
            <w:vMerge w:val="continue"/>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1">
            <w:pPr>
              <w:widowControl w:val="0"/>
              <w:spacing w:after="20" w:before="2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 Clause 3.2.3 of the Core Terms has been amended to "The Supplier transfers risk of the Goods on Delivery and ownership or possession of the Goods on payment for those Goods, whichever is earlier."</w:t>
            </w:r>
          </w:p>
          <w:p w:rsidR="00000000" w:rsidDel="00000000" w:rsidP="00000000" w:rsidRDefault="00000000" w:rsidRPr="00000000" w14:paraId="00000092">
            <w:pPr>
              <w:widowControl w:val="0"/>
              <w:spacing w:after="20" w:before="20" w:line="240" w:lineRule="auto"/>
              <w:ind w:left="113" w:firstLine="0"/>
              <w:rPr>
                <w:rFonts w:ascii="Arial" w:cs="Arial" w:eastAsia="Arial" w:hAnsi="Arial"/>
                <w:color w:val="000000"/>
                <w:sz w:val="24"/>
                <w:szCs w:val="24"/>
              </w:rPr>
            </w:pP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5">
            <w:pPr>
              <w:keepNext w:val="1"/>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5: Clause 3.2.11 has been amended to</w:t>
            </w:r>
          </w:p>
          <w:p w:rsidR="00000000" w:rsidDel="00000000" w:rsidP="00000000" w:rsidRDefault="00000000" w:rsidRPr="00000000" w14:paraId="00000096">
            <w:pPr>
              <w:keepNext w:val="1"/>
              <w:widowControl w:val="0"/>
              <w:spacing w:after="20" w:before="2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can cancel any order or part order of Goods which has not been Delivered. The Buyer will pay the Supplier’s reasonable and proven costs already incurred on the cancelled order as long as the Supplier takes all reasonable steps to minimise these costs."</w:t>
            </w:r>
          </w:p>
        </w:tc>
      </w:tr>
      <w:tr>
        <w:trPr>
          <w:cantSplit w:val="0"/>
          <w:trHeight w:val="690" w:hRule="atLeast"/>
          <w:tblHeader w:val="0"/>
        </w:trPr>
        <w:tc>
          <w:tcPr>
            <w:vMerge w:val="continue"/>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9">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6: Where the Supplier’s Goods are proprietary and cannot be repaired or replaced by a third party, clause 3.2.12 is amended to:</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at its own cost repair, replace, or substitute any Goods that the Buyer rejects because they don’t conform to Clause 3.”</w:t>
            </w:r>
          </w:p>
        </w:tc>
      </w:tr>
      <w:tr>
        <w:trPr>
          <w:cantSplit w:val="0"/>
          <w:trHeight w:val="690" w:hRule="atLeast"/>
          <w:tblHeader w:val="0"/>
        </w:trPr>
        <w:tc>
          <w:tcPr>
            <w:vMerge w:val="continue"/>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D">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7: Clause 4.9 of the Core Terms will not apply to the Call Off Contract</w:t>
            </w:r>
          </w:p>
        </w:tc>
      </w:tr>
      <w:tr>
        <w:trPr>
          <w:cantSplit w:val="0"/>
          <w:trHeight w:val="690" w:hRule="atLeast"/>
          <w:tblHeader w:val="0"/>
        </w:trPr>
        <w:tc>
          <w:tcPr>
            <w:vMerge w:val="continue"/>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A0">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8: Clause 4.10 of the Core Terms will not apply to the Call Off Contract</w:t>
            </w:r>
          </w:p>
        </w:tc>
      </w:tr>
      <w:tr>
        <w:trPr>
          <w:cantSplit w:val="0"/>
          <w:trHeight w:val="690" w:hRule="atLeast"/>
          <w:tblHeader w:val="0"/>
        </w:trPr>
        <w:tc>
          <w:tcPr>
            <w:vMerge w:val="continue"/>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A3">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9: Clause 10.2.2 has been amended to:</w:t>
            </w:r>
          </w:p>
          <w:p w:rsidR="00000000" w:rsidDel="00000000" w:rsidP="00000000" w:rsidRDefault="00000000" w:rsidRPr="00000000" w14:paraId="000000A4">
            <w:pPr>
              <w:widowControl w:val="0"/>
              <w:spacing w:after="20" w:before="2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Buyer has the right to terminate their Call-Off Contract at any time without reason or liability by giving the Supplier not less than 180 days’ written notice within the first 12 months of the Contract Start Date and 90 days’ written notice thereafter.”</w:t>
            </w:r>
          </w:p>
        </w:tc>
      </w:tr>
      <w:tr>
        <w:trPr>
          <w:cantSplit w:val="0"/>
          <w:trHeight w:val="690" w:hRule="atLeast"/>
          <w:tblHeader w:val="0"/>
        </w:trPr>
        <w:tc>
          <w:tcPr>
            <w:vMerge w:val="continue"/>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10: Clause 11.2 of the Core Terms is amended to</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Party's total aggregate liability in each Contract Year under each Call-Off Contract (whether in tort, contract or otherwise) is no more than the greater of £1 million or 150% of the Estimated Yearly Charges unless otherwise specified in the Call-Off Order Form."</w:t>
            </w:r>
          </w:p>
        </w:tc>
      </w:tr>
      <w:tr>
        <w:trPr>
          <w:cantSplit w:val="0"/>
          <w:trHeight w:val="690" w:hRule="atLeast"/>
          <w:tblHeader w:val="0"/>
        </w:trPr>
        <w:tc>
          <w:tcPr>
            <w:vMerge w:val="continue"/>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left"/>
              <w:rPr>
                <w:color w:val="000000"/>
                <w:sz w:val="24"/>
                <w:szCs w:val="24"/>
              </w:rPr>
            </w:pPr>
            <w:r w:rsidDel="00000000" w:rsidR="00000000" w:rsidRPr="00000000">
              <w:rPr>
                <w:rFonts w:ascii="Arial" w:cs="Arial" w:eastAsia="Arial" w:hAnsi="Arial"/>
                <w:color w:val="000000"/>
                <w:sz w:val="24"/>
                <w:szCs w:val="24"/>
                <w:rtl w:val="0"/>
              </w:rPr>
              <w:t xml:space="preserve">Special Term 11:  Clause 16.1 of the Core Terms is amended to</w:t>
            </w:r>
            <w:r w:rsidDel="00000000" w:rsidR="00000000" w:rsidRPr="00000000">
              <w:rPr>
                <w:rtl w:val="0"/>
              </w:rPr>
            </w:r>
          </w:p>
          <w:p w:rsidR="00000000" w:rsidDel="00000000" w:rsidP="00000000" w:rsidRDefault="00000000" w:rsidRPr="00000000" w14:paraId="000000AC">
            <w:pPr>
              <w:widowControl w:val="0"/>
              <w:spacing w:after="20" w:before="2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tell the Relevant Authority within two (2) working days if it receives a Request For Information.”</w:t>
            </w:r>
          </w:p>
        </w:tc>
      </w:tr>
      <w:tr>
        <w:trPr>
          <w:cantSplit w:val="0"/>
          <w:trHeight w:val="690" w:hRule="atLeast"/>
          <w:tblHeader w:val="0"/>
        </w:trPr>
        <w:tc>
          <w:tcPr>
            <w:vMerge w:val="restart"/>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AF">
            <w:pPr>
              <w:widowControl w:val="0"/>
              <w:spacing w:after="20" w:before="2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12:</w:t>
            </w:r>
            <w:r w:rsidDel="00000000" w:rsidR="00000000" w:rsidRPr="00000000">
              <w:rPr>
                <w:rFonts w:ascii="Arial" w:cs="Arial" w:eastAsia="Arial" w:hAnsi="Arial"/>
                <w:color w:val="000000"/>
                <w:sz w:val="24"/>
                <w:szCs w:val="24"/>
                <w:rtl w:val="0"/>
              </w:rPr>
              <w:t xml:space="preserve"> The Buyer agrees that the Supplier shall always be given the opportunity to remedy a remediable Default prior to a right of termination arising. The Buyer will only exercise its right to terminate for a Default which is either: (i) not remediable; or (ii) if remediable is not corrected within 10 days of receipt of a written request from the Buyer to do so or, if there is one, corrected in accordance with an accepted Rectification Plan.</w:t>
            </w:r>
          </w:p>
        </w:tc>
      </w:tr>
      <w:tr>
        <w:trPr>
          <w:cantSplit w:val="0"/>
          <w:trHeight w:val="690" w:hRule="atLeast"/>
          <w:tblHeader w:val="0"/>
        </w:trPr>
        <w:tc>
          <w:tcPr>
            <w:vMerge w:val="continue"/>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13: The Buyer shall not have the right to terminate where there’s a Change in Control of the Supplier that results in Control of the Supplier remaining with any entity which controls, is controlled by, or is under common control of the Supplier’s parent company.</w:t>
            </w:r>
          </w:p>
        </w:tc>
      </w:tr>
      <w:tr>
        <w:trPr>
          <w:cantSplit w:val="0"/>
          <w:trHeight w:val="690" w:hRule="atLeast"/>
          <w:tblHeader w:val="0"/>
        </w:trPr>
        <w:tc>
          <w:tcPr>
            <w:vMerge w:val="continue"/>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B5">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14: The Buyer agrees and consents to the Supplier anonymising and analysing non-personal telematics data collected during the Call-Off Contract for the purposes of enabling Buyers to make use of benchmarking activities only</w:t>
            </w:r>
          </w:p>
        </w:tc>
      </w:tr>
      <w:tr>
        <w:trPr>
          <w:cantSplit w:val="0"/>
          <w:trHeight w:val="690" w:hRule="atLeast"/>
          <w:tblHeader w:val="0"/>
        </w:trPr>
        <w:tc>
          <w:tcPr>
            <w:vMerge w:val="continue"/>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B8">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15: Where the Supplier’s Services are proprietary, data cannot be restored on its platform by a third party.</w:t>
            </w:r>
          </w:p>
        </w:tc>
      </w:tr>
      <w:tr>
        <w:trPr>
          <w:cantSplit w:val="0"/>
          <w:trHeight w:val="690" w:hRule="atLeast"/>
          <w:tblHeader w:val="0"/>
        </w:trPr>
        <w:tc>
          <w:tcPr>
            <w:vMerge w:val="continue"/>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BB">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16: If the Buyer wishes to conduct an Audit the Buyer agrees: (i) to provide the Supplier with at least 10 Working Days prior written notice; (ii) to provide a list and agenda of all areas to be inspected; and (iii) to make (and ensure that each of its mandated auditors makes) reasonable endeavours to avoid causing any damage, injury or disruption to the Supplier’s premises, equipment, personnel and business while its personnel are on those premises during such an Audit.</w:t>
            </w:r>
            <w:r w:rsidDel="00000000" w:rsidR="00000000" w:rsidRPr="00000000">
              <w:rPr>
                <w:color w:val="000000"/>
                <w:sz w:val="24"/>
                <w:szCs w:val="24"/>
                <w:rtl w:val="0"/>
              </w:rPr>
              <w:t xml:space="preserve">  </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BC">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BF">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ffffff" w:val="clear"/>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C2">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shd w:fill="ffffff" w:val="clear"/>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line="240" w:lineRule="auto"/>
              <w:ind w:left="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Cyber Essentials Scheme Basic Certificate (or equivalent</w:t>
            </w:r>
            <w:r w:rsidDel="00000000" w:rsidR="00000000" w:rsidRPr="00000000">
              <w:rPr>
                <w:rFonts w:ascii="Arial" w:cs="Arial" w:eastAsia="Arial" w:hAnsi="Arial"/>
                <w:color w:val="000000"/>
                <w:sz w:val="24"/>
                <w:szCs w:val="24"/>
                <w:highlight w:val="white"/>
                <w:rtl w:val="0"/>
              </w:rPr>
              <w:t xml:space="preserve"> verified by a technically competent and independent third party. This technically competent and independent third party must be </w:t>
            </w:r>
            <w:r w:rsidDel="00000000" w:rsidR="00000000" w:rsidRPr="00000000">
              <w:rPr>
                <w:rFonts w:ascii="Arial" w:cs="Arial" w:eastAsia="Arial" w:hAnsi="Arial"/>
                <w:color w:val="000000"/>
                <w:sz w:val="24"/>
                <w:szCs w:val="24"/>
                <w:highlight w:val="white"/>
                <w:rtl w:val="0"/>
              </w:rPr>
              <w:t xml:space="preserve">an IASME</w:t>
            </w:r>
            <w:r w:rsidDel="00000000" w:rsidR="00000000" w:rsidRPr="00000000">
              <w:rPr>
                <w:rFonts w:ascii="Arial" w:cs="Arial" w:eastAsia="Arial" w:hAnsi="Arial"/>
                <w:color w:val="000000"/>
                <w:sz w:val="24"/>
                <w:szCs w:val="24"/>
                <w:highlight w:val="white"/>
                <w:rtl w:val="0"/>
              </w:rPr>
              <w:t xml:space="preserve"> registered Certification Body). Details in Framework Schedule 9 (Cyber Essentials Scheme)</w:t>
            </w:r>
          </w:p>
        </w:tc>
      </w:tr>
      <w:tr>
        <w:trPr>
          <w:cantSplit w:val="0"/>
          <w:trHeight w:val="731" w:hRule="atLeast"/>
          <w:tblHeader w:val="0"/>
        </w:trPr>
        <w:tc>
          <w:tcPr/>
          <w:p w:rsidR="00000000" w:rsidDel="00000000" w:rsidP="00000000" w:rsidRDefault="00000000" w:rsidRPr="00000000" w14:paraId="000000C6">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C8">
            <w:pPr>
              <w:spacing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the Management Charge of all the Charges for the Deliverables invoiced to the Buyer under all Call-Off Contracts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C9">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[Lot 1 - 1%]</w:t>
            </w:r>
          </w:p>
          <w:p w:rsidR="00000000" w:rsidDel="00000000" w:rsidP="00000000" w:rsidRDefault="00000000" w:rsidRPr="00000000" w14:paraId="000000CA">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[Lot 2 - 1%]</w:t>
            </w:r>
          </w:p>
          <w:p w:rsidR="00000000" w:rsidDel="00000000" w:rsidP="00000000" w:rsidRDefault="00000000" w:rsidRPr="00000000" w14:paraId="000000CB">
            <w:pPr>
              <w:spacing w:after="160" w:line="259" w:lineRule="auto"/>
              <w:ind w:left="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[Lot 3 - 1%]</w:t>
            </w:r>
          </w:p>
          <w:p w:rsidR="00000000" w:rsidDel="00000000" w:rsidP="00000000" w:rsidRDefault="00000000" w:rsidRPr="00000000" w14:paraId="000000CC">
            <w:pPr>
              <w:rPr>
                <w:rFonts w:ascii="Arial" w:cs="Arial" w:eastAsia="Arial" w:hAnsi="Arial"/>
                <w:sz w:val="24"/>
                <w:szCs w:val="24"/>
                <w:highlight w:val="yellow"/>
              </w:rPr>
            </w:pPr>
            <w:r w:rsidDel="00000000" w:rsidR="00000000" w:rsidRPr="00000000">
              <w:rPr>
                <w:rFonts w:ascii="Arial" w:cs="Arial" w:eastAsia="Arial" w:hAnsi="Arial"/>
                <w:color w:val="000000"/>
                <w:sz w:val="24"/>
                <w:szCs w:val="24"/>
                <w:highlight w:val="yellow"/>
                <w:rtl w:val="0"/>
              </w:rPr>
              <w:t xml:space="preserve">[Lot 4 - 0.5%] </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D">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D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4">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5">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D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B">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C">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D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E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E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3">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E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E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E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A">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E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ED">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F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F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F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F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F4">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F6">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F7">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F8">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0F9">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0FA">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B">
            <w:pPr>
              <w:numPr>
                <w:ilvl w:val="0"/>
                <w:numId w:val="2"/>
              </w:numPr>
              <w:pBdr>
                <w:top w:space="0" w:sz="0" w:val="nil"/>
                <w:left w:space="0" w:sz="0" w:val="nil"/>
                <w:bottom w:space="0" w:sz="0" w:val="nil"/>
                <w:right w:space="0" w:sz="0" w:val="nil"/>
                <w:between w:space="0" w:sz="0" w:val="nil"/>
              </w:pBdr>
              <w:spacing w:after="0" w:line="240" w:lineRule="auto"/>
              <w:ind w:left="360" w:right="-767.1259842519685"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FE">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FF">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100">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101">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10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rPr>
          <w:rFonts w:ascii="Arial" w:cs="Arial" w:eastAsia="Arial" w:hAnsi="Arial"/>
          <w:sz w:val="24"/>
          <w:szCs w:val="24"/>
        </w:rPr>
      </w:pPr>
      <w:r w:rsidDel="00000000" w:rsidR="00000000" w:rsidRPr="00000000">
        <w:rPr>
          <w:rtl w:val="0"/>
        </w:rPr>
      </w:r>
    </w:p>
    <w:tbl>
      <w:tblPr>
        <w:tblStyle w:val="Table3"/>
        <w:tblW w:w="10485.0" w:type="dxa"/>
        <w:jc w:val="left"/>
        <w:tblInd w:w="-735.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2265"/>
        <w:gridCol w:w="3195"/>
        <w:gridCol w:w="1485"/>
        <w:gridCol w:w="3540"/>
        <w:tblGridChange w:id="0">
          <w:tblGrid>
            <w:gridCol w:w="2265"/>
            <w:gridCol w:w="3195"/>
            <w:gridCol w:w="1485"/>
            <w:gridCol w:w="3540"/>
          </w:tblGrid>
        </w:tblGridChange>
      </w:tblGrid>
      <w:tr>
        <w:trPr>
          <w:cantSplit w:val="0"/>
          <w:trHeight w:val="635" w:hRule="atLeast"/>
          <w:tblHeader w:val="0"/>
        </w:trPr>
        <w:tc>
          <w:tcPr>
            <w:gridSpan w:val="2"/>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1C">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2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RM6353 Tyres, Glass and Telematics</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2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9">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pPr>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NW4mewe52QDnuXQqH8H8Em63HQ==">CgMxLjAyCGguZ2pkZ3hzOABqJgoUc3VnZ2VzdC53ZmNweWx1NDdkaGQSDkNhbmRhY2UgQnJvb2tzaiYKFHN1Z2dlc3QuYzBleGc2YWZ6aHVvEg5DYW5kYWNlIEJyb29rc2omChRzdWdnZXN0LjhzdGU3NGNrbTNhYRIOQ2FuZGFjZSBCcm9va3NyITE3NE5JRjhFVjdzSnZodUxxQXJmTEtxNXAwQXVCVlJ3SQ==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2025-01-17T16:46:00Z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